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9"/>
        <w:gridCol w:w="3022"/>
        <w:gridCol w:w="5665"/>
      </w:tblGrid>
      <w:tr w:rsidR="00AA0583" w:rsidRPr="00A7057B" w:rsidTr="006D7DCA">
        <w:tc>
          <w:tcPr>
            <w:tcW w:w="464" w:type="pct"/>
          </w:tcPr>
          <w:p w:rsidR="00AA0583" w:rsidRDefault="00AA0583" w:rsidP="004201DB">
            <w:pPr>
              <w:pStyle w:val="BodyText2"/>
              <w:tabs>
                <w:tab w:val="left" w:pos="1710"/>
              </w:tabs>
              <w:jc w:val="left"/>
              <w:rPr>
                <w:b/>
              </w:rPr>
            </w:pPr>
            <w:r>
              <w:rPr>
                <w:b/>
              </w:rPr>
              <w:t>Defect</w:t>
            </w:r>
          </w:p>
        </w:tc>
        <w:tc>
          <w:tcPr>
            <w:tcW w:w="1578" w:type="pct"/>
          </w:tcPr>
          <w:p w:rsidR="00AA0583" w:rsidRPr="00A7057B" w:rsidRDefault="00AA0583" w:rsidP="004201DB">
            <w:pPr>
              <w:pStyle w:val="BodyText2"/>
              <w:tabs>
                <w:tab w:val="left" w:pos="1710"/>
              </w:tabs>
              <w:jc w:val="left"/>
              <w:rPr>
                <w:b/>
              </w:rPr>
            </w:pPr>
            <w:r>
              <w:rPr>
                <w:b/>
              </w:rPr>
              <w:t>Issue</w:t>
            </w:r>
          </w:p>
        </w:tc>
        <w:tc>
          <w:tcPr>
            <w:tcW w:w="2957" w:type="pct"/>
          </w:tcPr>
          <w:p w:rsidR="00AA0583" w:rsidRPr="00A7057B" w:rsidRDefault="00AA0583" w:rsidP="004201DB">
            <w:pPr>
              <w:pStyle w:val="BodyText2"/>
              <w:tabs>
                <w:tab w:val="left" w:pos="1710"/>
              </w:tabs>
              <w:jc w:val="left"/>
              <w:rPr>
                <w:b/>
              </w:rPr>
            </w:pPr>
            <w:r>
              <w:rPr>
                <w:b/>
              </w:rPr>
              <w:t>Fix</w:t>
            </w:r>
          </w:p>
        </w:tc>
      </w:tr>
      <w:tr w:rsidR="00AA0583" w:rsidRPr="00A7057B" w:rsidTr="006D7DCA">
        <w:tc>
          <w:tcPr>
            <w:tcW w:w="464" w:type="pct"/>
          </w:tcPr>
          <w:p w:rsidR="00AA0583" w:rsidRDefault="00AA0583" w:rsidP="004201DB">
            <w:pPr>
              <w:pStyle w:val="BodyText2"/>
              <w:tabs>
                <w:tab w:val="left" w:pos="1710"/>
              </w:tabs>
              <w:jc w:val="left"/>
              <w:rPr>
                <w:sz w:val="18"/>
                <w:szCs w:val="18"/>
              </w:rPr>
            </w:pPr>
            <w:r>
              <w:rPr>
                <w:sz w:val="18"/>
                <w:szCs w:val="18"/>
              </w:rPr>
              <w:t>13137, 13702</w:t>
            </w:r>
          </w:p>
        </w:tc>
        <w:tc>
          <w:tcPr>
            <w:tcW w:w="1578" w:type="pct"/>
          </w:tcPr>
          <w:p w:rsidR="00AA0583" w:rsidRDefault="00AA0583" w:rsidP="004201DB">
            <w:pPr>
              <w:pStyle w:val="BodyText2"/>
              <w:tabs>
                <w:tab w:val="left" w:pos="1710"/>
              </w:tabs>
              <w:jc w:val="left"/>
              <w:rPr>
                <w:sz w:val="18"/>
                <w:szCs w:val="18"/>
              </w:rPr>
            </w:pPr>
            <w:r>
              <w:rPr>
                <w:sz w:val="18"/>
                <w:szCs w:val="18"/>
              </w:rPr>
              <w:t>When exporting a spreadsheet the last row of data is missing on all reports</w:t>
            </w:r>
          </w:p>
        </w:tc>
        <w:tc>
          <w:tcPr>
            <w:tcW w:w="2957" w:type="pct"/>
          </w:tcPr>
          <w:p w:rsidR="00AA0583" w:rsidRDefault="00AA0583" w:rsidP="004201DB">
            <w:pPr>
              <w:pStyle w:val="BodyText2"/>
              <w:tabs>
                <w:tab w:val="left" w:pos="1710"/>
              </w:tabs>
              <w:jc w:val="left"/>
              <w:rPr>
                <w:sz w:val="18"/>
                <w:szCs w:val="18"/>
              </w:rPr>
            </w:pPr>
            <w:r>
              <w:rPr>
                <w:sz w:val="18"/>
                <w:szCs w:val="18"/>
              </w:rPr>
              <w:t>The last row of data is now appearing in all exports</w:t>
            </w:r>
          </w:p>
          <w:p w:rsidR="00AA0583" w:rsidRDefault="00AA0583" w:rsidP="004201DB">
            <w:pPr>
              <w:pStyle w:val="BodyText2"/>
              <w:tabs>
                <w:tab w:val="left" w:pos="1710"/>
              </w:tabs>
              <w:jc w:val="left"/>
              <w:rPr>
                <w:sz w:val="18"/>
                <w:szCs w:val="18"/>
              </w:rPr>
            </w:pPr>
          </w:p>
        </w:tc>
      </w:tr>
      <w:tr w:rsidR="00AA0583" w:rsidRPr="00A7057B" w:rsidTr="006D7DCA">
        <w:tc>
          <w:tcPr>
            <w:tcW w:w="464" w:type="pct"/>
          </w:tcPr>
          <w:p w:rsidR="00AA0583" w:rsidRDefault="00AA0583" w:rsidP="004201DB">
            <w:pPr>
              <w:pStyle w:val="BodyText2"/>
              <w:tabs>
                <w:tab w:val="left" w:pos="1710"/>
              </w:tabs>
              <w:jc w:val="left"/>
              <w:rPr>
                <w:sz w:val="18"/>
                <w:szCs w:val="18"/>
              </w:rPr>
            </w:pPr>
          </w:p>
        </w:tc>
        <w:tc>
          <w:tcPr>
            <w:tcW w:w="1578" w:type="pct"/>
          </w:tcPr>
          <w:p w:rsidR="00AA0583" w:rsidRPr="00A7057B" w:rsidRDefault="00AA0583" w:rsidP="004201DB">
            <w:pPr>
              <w:pStyle w:val="BodyText2"/>
              <w:tabs>
                <w:tab w:val="left" w:pos="1710"/>
              </w:tabs>
              <w:jc w:val="left"/>
              <w:rPr>
                <w:sz w:val="18"/>
                <w:szCs w:val="18"/>
              </w:rPr>
            </w:pPr>
            <w:r>
              <w:rPr>
                <w:sz w:val="18"/>
                <w:szCs w:val="18"/>
              </w:rPr>
              <w:t>The labels for selecting default administrative levels on the My Settings page should be adjusted by one. The first dropdown control should be the name of the first administrative level rather than “statewide”.  The second dropdown control should be the name of the second administrative level rather than the name of the first administrative level.  And so on for the labels of the remaining three dropdown controls</w:t>
            </w:r>
          </w:p>
        </w:tc>
        <w:tc>
          <w:tcPr>
            <w:tcW w:w="2957" w:type="pct"/>
          </w:tcPr>
          <w:p w:rsidR="00AA0583" w:rsidRDefault="00AA0583" w:rsidP="004201DB">
            <w:pPr>
              <w:pStyle w:val="BodyText2"/>
              <w:tabs>
                <w:tab w:val="left" w:pos="1710"/>
              </w:tabs>
              <w:jc w:val="left"/>
              <w:rPr>
                <w:sz w:val="18"/>
                <w:szCs w:val="18"/>
              </w:rPr>
            </w:pPr>
            <w:r>
              <w:rPr>
                <w:sz w:val="18"/>
                <w:szCs w:val="18"/>
              </w:rPr>
              <w:t>All labels and dropdowns in “My Settings” are now appearing in the correct order</w:t>
            </w:r>
          </w:p>
          <w:p w:rsidR="00AA0583" w:rsidRPr="00A7057B" w:rsidRDefault="00AA0583" w:rsidP="004201DB">
            <w:pPr>
              <w:pStyle w:val="BodyText2"/>
              <w:tabs>
                <w:tab w:val="left" w:pos="1710"/>
              </w:tabs>
              <w:jc w:val="left"/>
              <w:rPr>
                <w:sz w:val="18"/>
                <w:szCs w:val="18"/>
              </w:rPr>
            </w:pPr>
          </w:p>
        </w:tc>
      </w:tr>
      <w:tr w:rsidR="00AA0583" w:rsidRPr="00A7057B" w:rsidTr="006D7DCA">
        <w:tc>
          <w:tcPr>
            <w:tcW w:w="464" w:type="pct"/>
          </w:tcPr>
          <w:p w:rsidR="00AA0583" w:rsidRDefault="00AA0583" w:rsidP="004201DB">
            <w:pPr>
              <w:pStyle w:val="BodyText2"/>
              <w:tabs>
                <w:tab w:val="left" w:pos="1710"/>
              </w:tabs>
              <w:jc w:val="left"/>
              <w:rPr>
                <w:sz w:val="18"/>
                <w:szCs w:val="18"/>
              </w:rPr>
            </w:pPr>
          </w:p>
        </w:tc>
        <w:tc>
          <w:tcPr>
            <w:tcW w:w="1578" w:type="pct"/>
          </w:tcPr>
          <w:p w:rsidR="00AA0583" w:rsidRPr="00A7057B" w:rsidRDefault="00AA0583" w:rsidP="004201DB">
            <w:pPr>
              <w:pStyle w:val="BodyText2"/>
              <w:tabs>
                <w:tab w:val="left" w:pos="1710"/>
              </w:tabs>
              <w:jc w:val="left"/>
              <w:rPr>
                <w:sz w:val="18"/>
                <w:szCs w:val="18"/>
              </w:rPr>
            </w:pPr>
            <w:r>
              <w:rPr>
                <w:sz w:val="18"/>
                <w:szCs w:val="18"/>
              </w:rPr>
              <w:t>The labels for selecting default administrative levels on the User Maintenance page should be adjusted by one. The first dropdown control should be the name of the first administrative level rather than “statewide”.  The second dropdown control should be the name of the second administrative level rather than the name of the first administrative level.  And so on for the labels of the remaining three dropdown controls</w:t>
            </w:r>
          </w:p>
        </w:tc>
        <w:tc>
          <w:tcPr>
            <w:tcW w:w="2957" w:type="pct"/>
          </w:tcPr>
          <w:p w:rsidR="00AA0583" w:rsidRDefault="00AA0583" w:rsidP="004201DB">
            <w:pPr>
              <w:pStyle w:val="BodyText2"/>
              <w:tabs>
                <w:tab w:val="left" w:pos="1710"/>
              </w:tabs>
              <w:jc w:val="left"/>
              <w:rPr>
                <w:sz w:val="18"/>
                <w:szCs w:val="18"/>
              </w:rPr>
            </w:pPr>
            <w:r>
              <w:rPr>
                <w:sz w:val="18"/>
                <w:szCs w:val="18"/>
              </w:rPr>
              <w:t>All labels and dropdowns in “User Maintenance” are now appearing in the correct order</w:t>
            </w:r>
          </w:p>
          <w:p w:rsidR="00AA0583" w:rsidRPr="00A7057B" w:rsidRDefault="00AA0583" w:rsidP="004201DB">
            <w:pPr>
              <w:pStyle w:val="BodyText2"/>
              <w:tabs>
                <w:tab w:val="left" w:pos="1710"/>
              </w:tabs>
              <w:jc w:val="left"/>
              <w:rPr>
                <w:sz w:val="18"/>
                <w:szCs w:val="18"/>
              </w:rPr>
            </w:pPr>
          </w:p>
        </w:tc>
      </w:tr>
      <w:tr w:rsidR="00AA0583" w:rsidRPr="00A7057B" w:rsidTr="006D7DCA">
        <w:tc>
          <w:tcPr>
            <w:tcW w:w="464" w:type="pct"/>
          </w:tcPr>
          <w:p w:rsidR="006D7DCA" w:rsidRDefault="006D7DCA" w:rsidP="004201DB">
            <w:pPr>
              <w:pStyle w:val="BodyText2"/>
              <w:tabs>
                <w:tab w:val="left" w:pos="1710"/>
              </w:tabs>
              <w:jc w:val="left"/>
              <w:rPr>
                <w:sz w:val="18"/>
                <w:szCs w:val="18"/>
              </w:rPr>
            </w:pPr>
            <w:r>
              <w:rPr>
                <w:sz w:val="18"/>
                <w:szCs w:val="18"/>
              </w:rPr>
              <w:t>13198,</w:t>
            </w:r>
          </w:p>
          <w:p w:rsidR="006D7DCA" w:rsidRDefault="006D7DCA" w:rsidP="004201DB">
            <w:pPr>
              <w:pStyle w:val="BodyText2"/>
              <w:tabs>
                <w:tab w:val="left" w:pos="1710"/>
              </w:tabs>
              <w:jc w:val="left"/>
              <w:rPr>
                <w:sz w:val="18"/>
                <w:szCs w:val="18"/>
              </w:rPr>
            </w:pPr>
            <w:r>
              <w:rPr>
                <w:sz w:val="18"/>
                <w:szCs w:val="18"/>
              </w:rPr>
              <w:t>13204,</w:t>
            </w:r>
          </w:p>
          <w:p w:rsidR="006D7DCA" w:rsidRDefault="006D7DCA" w:rsidP="004201DB">
            <w:pPr>
              <w:pStyle w:val="BodyText2"/>
              <w:tabs>
                <w:tab w:val="left" w:pos="1710"/>
              </w:tabs>
              <w:jc w:val="left"/>
              <w:rPr>
                <w:sz w:val="18"/>
                <w:szCs w:val="18"/>
              </w:rPr>
            </w:pPr>
            <w:r>
              <w:rPr>
                <w:sz w:val="18"/>
                <w:szCs w:val="18"/>
              </w:rPr>
              <w:t>13207</w:t>
            </w:r>
          </w:p>
        </w:tc>
        <w:tc>
          <w:tcPr>
            <w:tcW w:w="1578" w:type="pct"/>
          </w:tcPr>
          <w:p w:rsidR="00AA0583" w:rsidRDefault="00D04AF2" w:rsidP="004201DB">
            <w:pPr>
              <w:pStyle w:val="BodyText2"/>
              <w:tabs>
                <w:tab w:val="left" w:pos="1710"/>
              </w:tabs>
              <w:jc w:val="left"/>
              <w:rPr>
                <w:sz w:val="18"/>
                <w:szCs w:val="18"/>
              </w:rPr>
            </w:pPr>
            <w:r>
              <w:rPr>
                <w:sz w:val="18"/>
                <w:szCs w:val="18"/>
              </w:rPr>
              <w:t>Ensure that the correct date range displays for Unit and Crosstab report when the report is defined to not display the ending partial month.  For these reports, the only situation when the last month of the selected time period will not display is when that last month is the month of the “Data Current Through” date as that month is considered a “partial” month.</w:t>
            </w:r>
          </w:p>
        </w:tc>
        <w:tc>
          <w:tcPr>
            <w:tcW w:w="2957" w:type="pct"/>
          </w:tcPr>
          <w:p w:rsidR="00D04AF2" w:rsidRPr="00D04AF2" w:rsidRDefault="00D04AF2" w:rsidP="00D04AF2">
            <w:pPr>
              <w:autoSpaceDE w:val="0"/>
              <w:autoSpaceDN w:val="0"/>
              <w:adjustRightInd w:val="0"/>
              <w:rPr>
                <w:rFonts w:eastAsiaTheme="minorHAnsi" w:cs="Arial"/>
                <w:color w:val="000000"/>
                <w:sz w:val="18"/>
                <w:szCs w:val="18"/>
              </w:rPr>
            </w:pPr>
            <w:r>
              <w:rPr>
                <w:rFonts w:eastAsiaTheme="minorHAnsi" w:cs="Arial"/>
                <w:color w:val="000000"/>
                <w:sz w:val="18"/>
                <w:szCs w:val="18"/>
              </w:rPr>
              <w:t>T</w:t>
            </w:r>
            <w:r w:rsidRPr="00D04AF2">
              <w:rPr>
                <w:rFonts w:eastAsiaTheme="minorHAnsi" w:cs="Arial"/>
                <w:color w:val="000000"/>
                <w:sz w:val="18"/>
                <w:szCs w:val="18"/>
              </w:rPr>
              <w:t>he developers ran another P-rebuild and added the March 31, 2011 date, since that is the last date that we have data for.  We had Kelly rerun her reports and the data reload has corrected the counts, so I'm closing this defect.</w:t>
            </w:r>
          </w:p>
          <w:p w:rsidR="00AA0583" w:rsidRPr="00D04AF2" w:rsidRDefault="00AA0583" w:rsidP="00D04AF2">
            <w:pPr>
              <w:pStyle w:val="BodyText2"/>
              <w:tabs>
                <w:tab w:val="left" w:pos="1710"/>
              </w:tabs>
              <w:jc w:val="left"/>
              <w:rPr>
                <w:sz w:val="18"/>
                <w:szCs w:val="18"/>
              </w:rPr>
            </w:pPr>
          </w:p>
        </w:tc>
      </w:tr>
      <w:tr w:rsidR="00AA0583" w:rsidRPr="00A7057B" w:rsidTr="006D7DCA">
        <w:tc>
          <w:tcPr>
            <w:tcW w:w="464" w:type="pct"/>
          </w:tcPr>
          <w:p w:rsidR="00AA0583" w:rsidRDefault="00AA0583" w:rsidP="004201DB">
            <w:pPr>
              <w:pStyle w:val="BodyText2"/>
              <w:tabs>
                <w:tab w:val="left" w:pos="1710"/>
              </w:tabs>
              <w:jc w:val="left"/>
              <w:rPr>
                <w:sz w:val="18"/>
                <w:szCs w:val="18"/>
              </w:rPr>
            </w:pPr>
          </w:p>
        </w:tc>
        <w:tc>
          <w:tcPr>
            <w:tcW w:w="1578" w:type="pct"/>
          </w:tcPr>
          <w:p w:rsidR="00AA0583" w:rsidRDefault="00AA0583" w:rsidP="004201DB">
            <w:pPr>
              <w:pStyle w:val="BodyText2"/>
              <w:tabs>
                <w:tab w:val="left" w:pos="1710"/>
              </w:tabs>
              <w:jc w:val="left"/>
              <w:rPr>
                <w:sz w:val="18"/>
                <w:szCs w:val="18"/>
              </w:rPr>
            </w:pPr>
            <w:r>
              <w:rPr>
                <w:sz w:val="18"/>
                <w:szCs w:val="18"/>
              </w:rPr>
              <w:t xml:space="preserve">The legend from the previous report view will incorrectly display if there are no data to report for the next selected report.  </w:t>
            </w:r>
          </w:p>
        </w:tc>
        <w:tc>
          <w:tcPr>
            <w:tcW w:w="2957" w:type="pct"/>
          </w:tcPr>
          <w:p w:rsidR="00AA0583" w:rsidRDefault="00AA0583" w:rsidP="004201DB">
            <w:pPr>
              <w:pStyle w:val="BodyText2"/>
              <w:tabs>
                <w:tab w:val="left" w:pos="1710"/>
              </w:tabs>
              <w:jc w:val="left"/>
              <w:rPr>
                <w:sz w:val="18"/>
                <w:szCs w:val="18"/>
              </w:rPr>
            </w:pPr>
            <w:r>
              <w:rPr>
                <w:sz w:val="18"/>
                <w:szCs w:val="18"/>
              </w:rPr>
              <w:t>The legend no longer displays unless the supporting data table displays.</w:t>
            </w:r>
          </w:p>
          <w:p w:rsidR="00AA0583" w:rsidRDefault="00AA0583" w:rsidP="004201DB">
            <w:pPr>
              <w:pStyle w:val="BodyText2"/>
              <w:tabs>
                <w:tab w:val="left" w:pos="1710"/>
              </w:tabs>
              <w:jc w:val="left"/>
              <w:rPr>
                <w:sz w:val="18"/>
                <w:szCs w:val="18"/>
              </w:rPr>
            </w:pPr>
          </w:p>
        </w:tc>
      </w:tr>
      <w:tr w:rsidR="00AA0583" w:rsidRPr="00A7057B" w:rsidTr="006D7DCA">
        <w:tc>
          <w:tcPr>
            <w:tcW w:w="464" w:type="pct"/>
          </w:tcPr>
          <w:p w:rsidR="00AA0583" w:rsidRDefault="00D04AF2" w:rsidP="004201DB">
            <w:pPr>
              <w:pStyle w:val="BodyText2"/>
              <w:tabs>
                <w:tab w:val="left" w:pos="1710"/>
              </w:tabs>
              <w:jc w:val="left"/>
              <w:rPr>
                <w:sz w:val="18"/>
                <w:szCs w:val="18"/>
              </w:rPr>
            </w:pPr>
            <w:r>
              <w:rPr>
                <w:sz w:val="18"/>
                <w:szCs w:val="18"/>
              </w:rPr>
              <w:t>13079</w:t>
            </w:r>
          </w:p>
        </w:tc>
        <w:tc>
          <w:tcPr>
            <w:tcW w:w="1578" w:type="pct"/>
          </w:tcPr>
          <w:p w:rsidR="00AA0583" w:rsidRDefault="00AA0583" w:rsidP="004201DB">
            <w:pPr>
              <w:pStyle w:val="BodyText2"/>
              <w:tabs>
                <w:tab w:val="left" w:pos="1710"/>
              </w:tabs>
              <w:jc w:val="left"/>
              <w:rPr>
                <w:sz w:val="18"/>
                <w:szCs w:val="18"/>
              </w:rPr>
            </w:pPr>
            <w:r>
              <w:rPr>
                <w:sz w:val="18"/>
                <w:szCs w:val="18"/>
              </w:rPr>
              <w:t>Users</w:t>
            </w:r>
            <w:r w:rsidR="00D04AF2">
              <w:rPr>
                <w:sz w:val="18"/>
                <w:szCs w:val="18"/>
              </w:rPr>
              <w:t>, using Firefox,</w:t>
            </w:r>
            <w:r>
              <w:rPr>
                <w:sz w:val="18"/>
                <w:szCs w:val="18"/>
              </w:rPr>
              <w:t xml:space="preserve"> are experiencing server errors and random code is appearing when navigating through ROM</w:t>
            </w:r>
          </w:p>
        </w:tc>
        <w:tc>
          <w:tcPr>
            <w:tcW w:w="2957" w:type="pct"/>
          </w:tcPr>
          <w:p w:rsidR="00AA0583" w:rsidRPr="00D04AF2" w:rsidRDefault="00D04AF2" w:rsidP="004201DB">
            <w:pPr>
              <w:pStyle w:val="BodyText2"/>
              <w:tabs>
                <w:tab w:val="left" w:pos="1710"/>
              </w:tabs>
              <w:jc w:val="left"/>
              <w:rPr>
                <w:sz w:val="18"/>
                <w:szCs w:val="18"/>
              </w:rPr>
            </w:pPr>
            <w:r w:rsidRPr="00D04AF2">
              <w:rPr>
                <w:rFonts w:eastAsiaTheme="minorHAnsi" w:cs="Arial"/>
                <w:color w:val="000000"/>
                <w:sz w:val="18"/>
                <w:szCs w:val="18"/>
              </w:rPr>
              <w:t>The ROM Release 6.1.1.0 service pack from Kansas has fixed this issue</w:t>
            </w:r>
            <w:r w:rsidRPr="00D04AF2">
              <w:rPr>
                <w:sz w:val="18"/>
                <w:szCs w:val="18"/>
              </w:rPr>
              <w:t xml:space="preserve"> </w:t>
            </w:r>
            <w:r w:rsidR="00AA0583" w:rsidRPr="00D04AF2">
              <w:rPr>
                <w:sz w:val="18"/>
                <w:szCs w:val="18"/>
              </w:rPr>
              <w:t>FireFox browser should no longer throw an error when saving drilldown or saving user activity</w:t>
            </w:r>
          </w:p>
          <w:p w:rsidR="00AA0583" w:rsidRPr="00D04AF2" w:rsidRDefault="00AA0583" w:rsidP="004201DB">
            <w:pPr>
              <w:pStyle w:val="BodyText2"/>
              <w:tabs>
                <w:tab w:val="left" w:pos="1710"/>
              </w:tabs>
              <w:jc w:val="left"/>
              <w:rPr>
                <w:sz w:val="18"/>
                <w:szCs w:val="18"/>
              </w:rPr>
            </w:pPr>
          </w:p>
        </w:tc>
      </w:tr>
      <w:tr w:rsidR="006D7DCA" w:rsidRPr="00A7057B" w:rsidTr="006D7DCA">
        <w:tc>
          <w:tcPr>
            <w:tcW w:w="464" w:type="pct"/>
          </w:tcPr>
          <w:p w:rsidR="006D7DCA" w:rsidRDefault="006D7DCA" w:rsidP="004201DB">
            <w:pPr>
              <w:pStyle w:val="BodyText2"/>
              <w:tabs>
                <w:tab w:val="left" w:pos="1710"/>
              </w:tabs>
              <w:jc w:val="left"/>
              <w:rPr>
                <w:sz w:val="18"/>
                <w:szCs w:val="18"/>
              </w:rPr>
            </w:pPr>
            <w:r>
              <w:rPr>
                <w:sz w:val="18"/>
                <w:szCs w:val="18"/>
              </w:rPr>
              <w:t>13124</w:t>
            </w:r>
          </w:p>
        </w:tc>
        <w:tc>
          <w:tcPr>
            <w:tcW w:w="1578" w:type="pct"/>
          </w:tcPr>
          <w:p w:rsidR="006D7DCA" w:rsidRDefault="006D7DCA" w:rsidP="00C95918">
            <w:pPr>
              <w:pStyle w:val="BodyText2"/>
              <w:tabs>
                <w:tab w:val="left" w:pos="1710"/>
              </w:tabs>
              <w:jc w:val="left"/>
              <w:rPr>
                <w:sz w:val="18"/>
                <w:szCs w:val="18"/>
              </w:rPr>
            </w:pPr>
            <w:r>
              <w:rPr>
                <w:sz w:val="18"/>
                <w:szCs w:val="18"/>
              </w:rPr>
              <w:t>Update a typographical error of ‘</w:t>
            </w:r>
            <w:r w:rsidRPr="008D12B9">
              <w:rPr>
                <w:sz w:val="18"/>
                <w:szCs w:val="18"/>
              </w:rPr>
              <w:t>Achieved Permaency’ to ‘Achieved Permanency’</w:t>
            </w:r>
            <w:r>
              <w:rPr>
                <w:sz w:val="18"/>
                <w:szCs w:val="18"/>
              </w:rPr>
              <w:t xml:space="preserve"> in drilldown column heading and Data Dictionary. </w:t>
            </w:r>
          </w:p>
        </w:tc>
        <w:tc>
          <w:tcPr>
            <w:tcW w:w="2957" w:type="pct"/>
          </w:tcPr>
          <w:p w:rsidR="006D7DCA" w:rsidRPr="006D7DCA" w:rsidRDefault="006D7DCA" w:rsidP="006D7DCA">
            <w:pPr>
              <w:autoSpaceDE w:val="0"/>
              <w:autoSpaceDN w:val="0"/>
              <w:adjustRightInd w:val="0"/>
              <w:rPr>
                <w:rFonts w:eastAsiaTheme="minorHAnsi" w:cs="Arial"/>
                <w:color w:val="000000"/>
                <w:sz w:val="18"/>
                <w:szCs w:val="18"/>
              </w:rPr>
            </w:pPr>
            <w:r>
              <w:rPr>
                <w:rFonts w:eastAsiaTheme="minorHAnsi" w:cs="Arial"/>
                <w:color w:val="000000"/>
                <w:sz w:val="18"/>
                <w:szCs w:val="18"/>
              </w:rPr>
              <w:t xml:space="preserve">This has been </w:t>
            </w:r>
            <w:r w:rsidRPr="006D7DCA">
              <w:rPr>
                <w:rFonts w:eastAsiaTheme="minorHAnsi" w:cs="Arial"/>
                <w:color w:val="000000"/>
                <w:sz w:val="18"/>
                <w:szCs w:val="18"/>
              </w:rPr>
              <w:t xml:space="preserve">corrected via </w:t>
            </w:r>
            <w:r w:rsidR="00C95918">
              <w:rPr>
                <w:rFonts w:eastAsiaTheme="minorHAnsi" w:cs="Arial"/>
                <w:color w:val="000000"/>
                <w:sz w:val="18"/>
                <w:szCs w:val="18"/>
              </w:rPr>
              <w:t xml:space="preserve">the </w:t>
            </w:r>
            <w:r w:rsidRPr="006D7DCA">
              <w:rPr>
                <w:rFonts w:eastAsiaTheme="minorHAnsi" w:cs="Arial"/>
                <w:color w:val="000000"/>
                <w:sz w:val="18"/>
                <w:szCs w:val="18"/>
              </w:rPr>
              <w:t>admin tool</w:t>
            </w:r>
            <w:r w:rsidR="00C95918">
              <w:rPr>
                <w:rFonts w:eastAsiaTheme="minorHAnsi" w:cs="Arial"/>
                <w:color w:val="000000"/>
                <w:sz w:val="18"/>
                <w:szCs w:val="18"/>
              </w:rPr>
              <w:t>.</w:t>
            </w:r>
          </w:p>
          <w:p w:rsidR="006D7DCA" w:rsidRPr="006D7DCA" w:rsidRDefault="006D7DCA" w:rsidP="004201DB">
            <w:pPr>
              <w:pStyle w:val="BodyText2"/>
              <w:tabs>
                <w:tab w:val="left" w:pos="1710"/>
              </w:tabs>
              <w:jc w:val="left"/>
              <w:rPr>
                <w:sz w:val="18"/>
                <w:szCs w:val="18"/>
              </w:rPr>
            </w:pPr>
          </w:p>
        </w:tc>
      </w:tr>
      <w:tr w:rsidR="00AA0583" w:rsidRPr="00A7057B" w:rsidTr="006D7DCA">
        <w:tc>
          <w:tcPr>
            <w:tcW w:w="464" w:type="pct"/>
          </w:tcPr>
          <w:p w:rsidR="00AA0583" w:rsidRDefault="00C95918" w:rsidP="004201DB">
            <w:pPr>
              <w:pStyle w:val="BodyText2"/>
              <w:tabs>
                <w:tab w:val="left" w:pos="1710"/>
              </w:tabs>
              <w:jc w:val="left"/>
              <w:rPr>
                <w:sz w:val="18"/>
                <w:szCs w:val="18"/>
              </w:rPr>
            </w:pPr>
            <w:r>
              <w:rPr>
                <w:sz w:val="18"/>
                <w:szCs w:val="18"/>
              </w:rPr>
              <w:t>13068</w:t>
            </w:r>
          </w:p>
        </w:tc>
        <w:tc>
          <w:tcPr>
            <w:tcW w:w="1578" w:type="pct"/>
          </w:tcPr>
          <w:p w:rsidR="00AA0583" w:rsidRDefault="00C95918" w:rsidP="004201DB">
            <w:pPr>
              <w:pStyle w:val="BodyText2"/>
              <w:tabs>
                <w:tab w:val="left" w:pos="1710"/>
              </w:tabs>
              <w:jc w:val="left"/>
              <w:rPr>
                <w:sz w:val="18"/>
                <w:szCs w:val="18"/>
              </w:rPr>
            </w:pPr>
            <w:r>
              <w:rPr>
                <w:sz w:val="18"/>
                <w:szCs w:val="18"/>
              </w:rPr>
              <w:t xml:space="preserve">Modify the label for Age Category </w:t>
            </w:r>
            <w:r>
              <w:rPr>
                <w:sz w:val="18"/>
                <w:szCs w:val="18"/>
              </w:rPr>
              <w:lastRenderedPageBreak/>
              <w:t>and Episode Length Category so they sort by functional label.</w:t>
            </w:r>
          </w:p>
        </w:tc>
        <w:tc>
          <w:tcPr>
            <w:tcW w:w="2957" w:type="pct"/>
          </w:tcPr>
          <w:p w:rsidR="00AA0583" w:rsidRPr="00C95918" w:rsidRDefault="00C95918" w:rsidP="00C95918">
            <w:pPr>
              <w:pStyle w:val="BodyText2"/>
              <w:tabs>
                <w:tab w:val="left" w:pos="1710"/>
              </w:tabs>
              <w:jc w:val="left"/>
              <w:rPr>
                <w:sz w:val="18"/>
                <w:szCs w:val="18"/>
              </w:rPr>
            </w:pPr>
            <w:r w:rsidRPr="00C95918">
              <w:rPr>
                <w:rFonts w:eastAsiaTheme="minorHAnsi" w:cs="Arial"/>
                <w:color w:val="000000"/>
                <w:sz w:val="18"/>
                <w:szCs w:val="18"/>
              </w:rPr>
              <w:lastRenderedPageBreak/>
              <w:t xml:space="preserve">The ROM Release 6.1.1.0 service pack from Kansas has fixed this </w:t>
            </w:r>
            <w:r w:rsidRPr="00C95918">
              <w:rPr>
                <w:rFonts w:eastAsiaTheme="minorHAnsi" w:cs="Arial"/>
                <w:color w:val="000000"/>
                <w:sz w:val="18"/>
                <w:szCs w:val="18"/>
              </w:rPr>
              <w:lastRenderedPageBreak/>
              <w:t xml:space="preserve">issue.  </w:t>
            </w:r>
            <w:r>
              <w:rPr>
                <w:rFonts w:eastAsiaTheme="minorHAnsi" w:cs="Arial"/>
                <w:color w:val="000000"/>
                <w:sz w:val="18"/>
                <w:szCs w:val="18"/>
              </w:rPr>
              <w:t>However, placing a letter (Example: a, b, c, d…) in front of the age doesn’t look right and is confusing.  ODJFS wants Kansas to fix this issue correctly.</w:t>
            </w:r>
          </w:p>
        </w:tc>
      </w:tr>
      <w:tr w:rsidR="00AA0583" w:rsidRPr="00A7057B" w:rsidTr="006D7DCA">
        <w:tc>
          <w:tcPr>
            <w:tcW w:w="464" w:type="pct"/>
          </w:tcPr>
          <w:p w:rsidR="00AA0583" w:rsidRDefault="00AA0583" w:rsidP="004201DB">
            <w:pPr>
              <w:pStyle w:val="BodyText2"/>
              <w:tabs>
                <w:tab w:val="left" w:pos="1710"/>
              </w:tabs>
              <w:jc w:val="left"/>
              <w:rPr>
                <w:sz w:val="18"/>
                <w:szCs w:val="18"/>
              </w:rPr>
            </w:pPr>
          </w:p>
        </w:tc>
        <w:tc>
          <w:tcPr>
            <w:tcW w:w="1578" w:type="pct"/>
          </w:tcPr>
          <w:p w:rsidR="00AA0583" w:rsidRDefault="00AA0583" w:rsidP="004201DB">
            <w:pPr>
              <w:pStyle w:val="BodyText2"/>
              <w:tabs>
                <w:tab w:val="left" w:pos="1710"/>
              </w:tabs>
              <w:jc w:val="left"/>
              <w:rPr>
                <w:sz w:val="18"/>
                <w:szCs w:val="18"/>
              </w:rPr>
            </w:pPr>
            <w:r>
              <w:rPr>
                <w:sz w:val="18"/>
                <w:szCs w:val="18"/>
              </w:rPr>
              <w:t>9</w:t>
            </w:r>
          </w:p>
        </w:tc>
        <w:tc>
          <w:tcPr>
            <w:tcW w:w="2957" w:type="pct"/>
          </w:tcPr>
          <w:p w:rsidR="00AA0583" w:rsidRDefault="00AA0583" w:rsidP="004201DB">
            <w:pPr>
              <w:pStyle w:val="BodyText2"/>
              <w:tabs>
                <w:tab w:val="left" w:pos="1710"/>
              </w:tabs>
              <w:jc w:val="left"/>
              <w:rPr>
                <w:sz w:val="18"/>
                <w:szCs w:val="18"/>
              </w:rPr>
            </w:pPr>
            <w:r>
              <w:rPr>
                <w:sz w:val="18"/>
                <w:szCs w:val="18"/>
              </w:rPr>
              <w:t>Remove the restriction of limiting to the last full month in Unit Per Report Period and Crosstab Per Report Period views of the following reports:</w:t>
            </w:r>
          </w:p>
          <w:p w:rsidR="00AA0583" w:rsidRPr="008D12B9" w:rsidRDefault="00AA0583" w:rsidP="00AA0583">
            <w:pPr>
              <w:pStyle w:val="BodyText2"/>
              <w:numPr>
                <w:ilvl w:val="0"/>
                <w:numId w:val="1"/>
              </w:numPr>
              <w:tabs>
                <w:tab w:val="left" w:pos="1710"/>
              </w:tabs>
              <w:rPr>
                <w:sz w:val="18"/>
                <w:szCs w:val="18"/>
              </w:rPr>
            </w:pPr>
            <w:r w:rsidRPr="008D12B9">
              <w:rPr>
                <w:sz w:val="18"/>
                <w:szCs w:val="18"/>
              </w:rPr>
              <w:t>Permanency in 12 mos (of those entering care 12 mos ago)</w:t>
            </w:r>
          </w:p>
          <w:p w:rsidR="00AA0583" w:rsidRPr="008D12B9" w:rsidRDefault="00AA0583" w:rsidP="00AA0583">
            <w:pPr>
              <w:pStyle w:val="BodyText2"/>
              <w:numPr>
                <w:ilvl w:val="0"/>
                <w:numId w:val="1"/>
              </w:numPr>
              <w:tabs>
                <w:tab w:val="left" w:pos="1710"/>
              </w:tabs>
              <w:rPr>
                <w:sz w:val="18"/>
                <w:szCs w:val="18"/>
              </w:rPr>
            </w:pPr>
            <w:r w:rsidRPr="008D12B9">
              <w:rPr>
                <w:sz w:val="18"/>
                <w:szCs w:val="18"/>
              </w:rPr>
              <w:t>Permanency achieved (of those legally free for adoption and discharged)</w:t>
            </w:r>
          </w:p>
          <w:p w:rsidR="00AA0583" w:rsidRPr="008D12B9" w:rsidRDefault="00AA0583" w:rsidP="00AA0583">
            <w:pPr>
              <w:pStyle w:val="BodyText2"/>
              <w:numPr>
                <w:ilvl w:val="0"/>
                <w:numId w:val="1"/>
              </w:numPr>
              <w:tabs>
                <w:tab w:val="left" w:pos="1710"/>
              </w:tabs>
              <w:rPr>
                <w:sz w:val="18"/>
                <w:szCs w:val="18"/>
              </w:rPr>
            </w:pPr>
            <w:r w:rsidRPr="008D12B9">
              <w:rPr>
                <w:sz w:val="18"/>
                <w:szCs w:val="18"/>
              </w:rPr>
              <w:t>Safe from maltreatment recurrence for 6 mos. (of victims 6 mos. ago)</w:t>
            </w:r>
          </w:p>
          <w:p w:rsidR="00AA0583" w:rsidRPr="008D12B9" w:rsidRDefault="00AA0583" w:rsidP="00AA0583">
            <w:pPr>
              <w:pStyle w:val="BodyText2"/>
              <w:numPr>
                <w:ilvl w:val="0"/>
                <w:numId w:val="1"/>
              </w:numPr>
              <w:tabs>
                <w:tab w:val="left" w:pos="1710"/>
              </w:tabs>
              <w:rPr>
                <w:sz w:val="18"/>
                <w:szCs w:val="18"/>
              </w:rPr>
            </w:pPr>
            <w:r w:rsidRPr="008D12B9">
              <w:rPr>
                <w:sz w:val="18"/>
                <w:szCs w:val="18"/>
              </w:rPr>
              <w:t>No Re-entry into Custody (of those discharged 12 months ago)</w:t>
            </w:r>
          </w:p>
          <w:p w:rsidR="00AA0583" w:rsidRPr="008D12B9" w:rsidRDefault="00AA0583" w:rsidP="00AA0583">
            <w:pPr>
              <w:pStyle w:val="BodyText2"/>
              <w:numPr>
                <w:ilvl w:val="0"/>
                <w:numId w:val="1"/>
              </w:numPr>
              <w:tabs>
                <w:tab w:val="left" w:pos="1710"/>
              </w:tabs>
              <w:rPr>
                <w:sz w:val="18"/>
                <w:szCs w:val="18"/>
              </w:rPr>
            </w:pPr>
            <w:r w:rsidRPr="008D12B9">
              <w:rPr>
                <w:sz w:val="18"/>
                <w:szCs w:val="18"/>
              </w:rPr>
              <w:t>Adopted in less than 12 months of TPR (of those with TPR 12 mos ago)</w:t>
            </w:r>
          </w:p>
          <w:p w:rsidR="00AA0583" w:rsidRPr="008D12B9" w:rsidRDefault="00AA0583" w:rsidP="00AA0583">
            <w:pPr>
              <w:pStyle w:val="BodyText2"/>
              <w:numPr>
                <w:ilvl w:val="0"/>
                <w:numId w:val="1"/>
              </w:numPr>
              <w:tabs>
                <w:tab w:val="left" w:pos="1710"/>
              </w:tabs>
              <w:rPr>
                <w:sz w:val="18"/>
                <w:szCs w:val="18"/>
              </w:rPr>
            </w:pPr>
            <w:r w:rsidRPr="008D12B9">
              <w:rPr>
                <w:sz w:val="18"/>
                <w:szCs w:val="18"/>
              </w:rPr>
              <w:t>Permanency in 24 mos (of those entered care 24 mos ago)</w:t>
            </w:r>
          </w:p>
          <w:p w:rsidR="00AA0583" w:rsidRPr="008D12B9" w:rsidRDefault="00AA0583" w:rsidP="00AA0583">
            <w:pPr>
              <w:pStyle w:val="BodyText2"/>
              <w:numPr>
                <w:ilvl w:val="0"/>
                <w:numId w:val="1"/>
              </w:numPr>
              <w:tabs>
                <w:tab w:val="left" w:pos="1710"/>
              </w:tabs>
              <w:rPr>
                <w:sz w:val="18"/>
                <w:szCs w:val="18"/>
              </w:rPr>
            </w:pPr>
            <w:r w:rsidRPr="008D12B9">
              <w:rPr>
                <w:sz w:val="18"/>
                <w:szCs w:val="18"/>
              </w:rPr>
              <w:t>Maintain Reunifications for 12 months (of those reunified 12 mos ago)</w:t>
            </w:r>
          </w:p>
          <w:p w:rsidR="00AA0583" w:rsidRPr="008D12B9" w:rsidRDefault="00AA0583" w:rsidP="00AA0583">
            <w:pPr>
              <w:pStyle w:val="BodyText2"/>
              <w:numPr>
                <w:ilvl w:val="0"/>
                <w:numId w:val="1"/>
              </w:numPr>
              <w:tabs>
                <w:tab w:val="left" w:pos="1710"/>
              </w:tabs>
              <w:rPr>
                <w:sz w:val="18"/>
                <w:szCs w:val="18"/>
              </w:rPr>
            </w:pPr>
            <w:r w:rsidRPr="008D12B9">
              <w:rPr>
                <w:sz w:val="18"/>
                <w:szCs w:val="18"/>
              </w:rPr>
              <w:t>In Care Less than 3 Yrs (of those emancipated or turned 18)</w:t>
            </w:r>
          </w:p>
          <w:p w:rsidR="00AA0583" w:rsidRPr="008D12B9" w:rsidRDefault="00AA0583" w:rsidP="00AA0583">
            <w:pPr>
              <w:pStyle w:val="BodyText2"/>
              <w:numPr>
                <w:ilvl w:val="0"/>
                <w:numId w:val="1"/>
              </w:numPr>
              <w:tabs>
                <w:tab w:val="left" w:pos="1710"/>
              </w:tabs>
              <w:rPr>
                <w:sz w:val="18"/>
                <w:szCs w:val="18"/>
              </w:rPr>
            </w:pPr>
            <w:r w:rsidRPr="008D12B9">
              <w:rPr>
                <w:sz w:val="18"/>
                <w:szCs w:val="18"/>
              </w:rPr>
              <w:t>Reunification in 12 months of entry (of 1st time removals 12 mos ago)</w:t>
            </w:r>
          </w:p>
          <w:p w:rsidR="00AA0583" w:rsidRPr="008D12B9" w:rsidRDefault="00AA0583" w:rsidP="00AA0583">
            <w:pPr>
              <w:pStyle w:val="BodyText2"/>
              <w:numPr>
                <w:ilvl w:val="0"/>
                <w:numId w:val="1"/>
              </w:numPr>
              <w:tabs>
                <w:tab w:val="left" w:pos="1710"/>
              </w:tabs>
              <w:rPr>
                <w:sz w:val="18"/>
                <w:szCs w:val="18"/>
              </w:rPr>
            </w:pPr>
            <w:r w:rsidRPr="008D12B9">
              <w:rPr>
                <w:sz w:val="18"/>
                <w:szCs w:val="18"/>
              </w:rPr>
              <w:t>Investigations Completed within 30 Days (of reports received 30 days ago)</w:t>
            </w:r>
          </w:p>
          <w:p w:rsidR="00AA0583" w:rsidRPr="008D12B9" w:rsidRDefault="00AA0583" w:rsidP="00AA0583">
            <w:pPr>
              <w:pStyle w:val="BodyText2"/>
              <w:numPr>
                <w:ilvl w:val="0"/>
                <w:numId w:val="1"/>
              </w:numPr>
              <w:tabs>
                <w:tab w:val="left" w:pos="1710"/>
              </w:tabs>
              <w:rPr>
                <w:sz w:val="18"/>
                <w:szCs w:val="18"/>
              </w:rPr>
            </w:pPr>
            <w:r w:rsidRPr="008D12B9">
              <w:rPr>
                <w:sz w:val="18"/>
                <w:szCs w:val="18"/>
              </w:rPr>
              <w:t>Reunification in 12 months (of those reunified)</w:t>
            </w:r>
          </w:p>
          <w:p w:rsidR="00AA0583" w:rsidRPr="008D12B9" w:rsidRDefault="00AA0583" w:rsidP="00AA0583">
            <w:pPr>
              <w:pStyle w:val="BodyText2"/>
              <w:numPr>
                <w:ilvl w:val="0"/>
                <w:numId w:val="1"/>
              </w:numPr>
              <w:tabs>
                <w:tab w:val="left" w:pos="1710"/>
              </w:tabs>
              <w:rPr>
                <w:sz w:val="18"/>
                <w:szCs w:val="18"/>
              </w:rPr>
            </w:pPr>
            <w:r w:rsidRPr="008D12B9">
              <w:rPr>
                <w:sz w:val="18"/>
                <w:szCs w:val="18"/>
              </w:rPr>
              <w:t>Adopted in less than 24 months (of those adopted)</w:t>
            </w:r>
          </w:p>
          <w:p w:rsidR="00AA0583" w:rsidRPr="008D12B9" w:rsidRDefault="00AA0583" w:rsidP="00AA0583">
            <w:pPr>
              <w:pStyle w:val="BodyText2"/>
              <w:numPr>
                <w:ilvl w:val="0"/>
                <w:numId w:val="1"/>
              </w:numPr>
              <w:tabs>
                <w:tab w:val="left" w:pos="1710"/>
              </w:tabs>
              <w:rPr>
                <w:sz w:val="18"/>
                <w:szCs w:val="18"/>
              </w:rPr>
            </w:pPr>
            <w:r w:rsidRPr="008D12B9">
              <w:rPr>
                <w:sz w:val="18"/>
                <w:szCs w:val="18"/>
              </w:rPr>
              <w:t xml:space="preserve">Report Conclusions (of conclusions made) </w:t>
            </w:r>
          </w:p>
          <w:p w:rsidR="00AA0583" w:rsidRPr="008D12B9" w:rsidRDefault="00AA0583" w:rsidP="00AA0583">
            <w:pPr>
              <w:pStyle w:val="BodyText2"/>
              <w:numPr>
                <w:ilvl w:val="0"/>
                <w:numId w:val="1"/>
              </w:numPr>
              <w:tabs>
                <w:tab w:val="left" w:pos="1710"/>
              </w:tabs>
              <w:rPr>
                <w:sz w:val="18"/>
                <w:szCs w:val="18"/>
              </w:rPr>
            </w:pPr>
            <w:r w:rsidRPr="008D12B9">
              <w:rPr>
                <w:sz w:val="18"/>
                <w:szCs w:val="18"/>
              </w:rPr>
              <w:t>Initial Face-to-face Contact within 24 hours (of accepted reports)</w:t>
            </w:r>
          </w:p>
          <w:p w:rsidR="00AA0583" w:rsidRPr="008D12B9" w:rsidRDefault="00AA0583" w:rsidP="00AA0583">
            <w:pPr>
              <w:pStyle w:val="BodyText2"/>
              <w:numPr>
                <w:ilvl w:val="0"/>
                <w:numId w:val="1"/>
              </w:numPr>
              <w:tabs>
                <w:tab w:val="left" w:pos="1710"/>
              </w:tabs>
              <w:rPr>
                <w:sz w:val="18"/>
                <w:szCs w:val="18"/>
              </w:rPr>
            </w:pPr>
            <w:r w:rsidRPr="008D12B9">
              <w:rPr>
                <w:sz w:val="18"/>
                <w:szCs w:val="18"/>
              </w:rPr>
              <w:t>State Permanency in 12 mos (of those entering care 12 mos ago)</w:t>
            </w:r>
          </w:p>
          <w:p w:rsidR="00AA0583" w:rsidRPr="008D12B9" w:rsidRDefault="00AA0583" w:rsidP="00AA0583">
            <w:pPr>
              <w:pStyle w:val="BodyText2"/>
              <w:numPr>
                <w:ilvl w:val="0"/>
                <w:numId w:val="1"/>
              </w:numPr>
              <w:tabs>
                <w:tab w:val="left" w:pos="1710"/>
              </w:tabs>
              <w:rPr>
                <w:sz w:val="18"/>
                <w:szCs w:val="18"/>
              </w:rPr>
            </w:pPr>
            <w:r w:rsidRPr="008D12B9">
              <w:rPr>
                <w:sz w:val="18"/>
                <w:szCs w:val="18"/>
              </w:rPr>
              <w:t>State No Re-entry into Custody (of those discharged 12 months ago)</w:t>
            </w:r>
          </w:p>
          <w:p w:rsidR="00AA0583" w:rsidRDefault="00AA0583" w:rsidP="00AA0583">
            <w:pPr>
              <w:pStyle w:val="BodyText2"/>
              <w:numPr>
                <w:ilvl w:val="0"/>
                <w:numId w:val="1"/>
              </w:numPr>
              <w:tabs>
                <w:tab w:val="left" w:pos="1710"/>
              </w:tabs>
              <w:jc w:val="left"/>
              <w:rPr>
                <w:sz w:val="18"/>
                <w:szCs w:val="18"/>
              </w:rPr>
            </w:pPr>
            <w:r w:rsidRPr="008D12B9">
              <w:rPr>
                <w:sz w:val="18"/>
                <w:szCs w:val="18"/>
              </w:rPr>
              <w:t>State Permanency in 24 mos (of those entered care 24 mos ago)</w:t>
            </w:r>
          </w:p>
          <w:p w:rsidR="00AA0583" w:rsidRDefault="00AA0583" w:rsidP="004201DB">
            <w:pPr>
              <w:pStyle w:val="BodyText2"/>
              <w:tabs>
                <w:tab w:val="left" w:pos="1710"/>
              </w:tabs>
              <w:jc w:val="left"/>
              <w:rPr>
                <w:sz w:val="18"/>
                <w:szCs w:val="18"/>
              </w:rPr>
            </w:pPr>
          </w:p>
          <w:p w:rsidR="00AA0583" w:rsidRDefault="00AA0583" w:rsidP="004201DB">
            <w:pPr>
              <w:pStyle w:val="BodyText2"/>
              <w:tabs>
                <w:tab w:val="left" w:pos="1710"/>
              </w:tabs>
              <w:jc w:val="left"/>
              <w:rPr>
                <w:sz w:val="18"/>
                <w:szCs w:val="18"/>
              </w:rPr>
            </w:pPr>
            <w:r>
              <w:rPr>
                <w:sz w:val="18"/>
                <w:szCs w:val="18"/>
              </w:rPr>
              <w:t>This update could have been fixed using Admin Maintenance pages but will be provided for convenience in this release</w:t>
            </w:r>
          </w:p>
          <w:p w:rsidR="00AA0583" w:rsidRDefault="00AA0583" w:rsidP="004201DB">
            <w:pPr>
              <w:pStyle w:val="BodyText2"/>
              <w:tabs>
                <w:tab w:val="left" w:pos="1710"/>
              </w:tabs>
              <w:jc w:val="left"/>
              <w:rPr>
                <w:sz w:val="18"/>
                <w:szCs w:val="18"/>
              </w:rPr>
            </w:pPr>
          </w:p>
        </w:tc>
      </w:tr>
      <w:tr w:rsidR="00AA0583" w:rsidRPr="00A7057B" w:rsidTr="006D7DCA">
        <w:tc>
          <w:tcPr>
            <w:tcW w:w="464" w:type="pct"/>
          </w:tcPr>
          <w:p w:rsidR="00AA0583" w:rsidRDefault="00AA0583" w:rsidP="004201DB">
            <w:pPr>
              <w:pStyle w:val="BodyText2"/>
              <w:tabs>
                <w:tab w:val="left" w:pos="1710"/>
              </w:tabs>
              <w:jc w:val="left"/>
              <w:rPr>
                <w:sz w:val="18"/>
                <w:szCs w:val="18"/>
              </w:rPr>
            </w:pPr>
          </w:p>
        </w:tc>
        <w:tc>
          <w:tcPr>
            <w:tcW w:w="1578" w:type="pct"/>
          </w:tcPr>
          <w:p w:rsidR="00AA0583" w:rsidRDefault="00AA0583" w:rsidP="004201DB">
            <w:pPr>
              <w:pStyle w:val="BodyText2"/>
              <w:tabs>
                <w:tab w:val="left" w:pos="1710"/>
              </w:tabs>
              <w:jc w:val="left"/>
              <w:rPr>
                <w:sz w:val="18"/>
                <w:szCs w:val="18"/>
              </w:rPr>
            </w:pPr>
            <w:r>
              <w:rPr>
                <w:sz w:val="18"/>
                <w:szCs w:val="18"/>
              </w:rPr>
              <w:t>10</w:t>
            </w:r>
          </w:p>
        </w:tc>
        <w:tc>
          <w:tcPr>
            <w:tcW w:w="2957" w:type="pct"/>
          </w:tcPr>
          <w:p w:rsidR="00AA0583" w:rsidRDefault="00AA0583" w:rsidP="004201DB">
            <w:pPr>
              <w:pStyle w:val="BodyText2"/>
              <w:tabs>
                <w:tab w:val="left" w:pos="1710"/>
              </w:tabs>
              <w:jc w:val="left"/>
              <w:rPr>
                <w:sz w:val="18"/>
                <w:szCs w:val="18"/>
              </w:rPr>
            </w:pPr>
            <w:r>
              <w:rPr>
                <w:sz w:val="18"/>
                <w:szCs w:val="18"/>
              </w:rPr>
              <w:t>Fix Report View label for Countdown to TPR report.  It was incorrectly displaying the heading for Countdown to Timely Permanency.  This update could have been fixed using Admin Maintenance pages but will be provided for convenience in this release.</w:t>
            </w:r>
          </w:p>
          <w:p w:rsidR="00AA0583" w:rsidRDefault="00AA0583" w:rsidP="004201DB">
            <w:pPr>
              <w:pStyle w:val="BodyText2"/>
              <w:tabs>
                <w:tab w:val="left" w:pos="1710"/>
              </w:tabs>
              <w:jc w:val="left"/>
              <w:rPr>
                <w:sz w:val="18"/>
                <w:szCs w:val="18"/>
              </w:rPr>
            </w:pPr>
          </w:p>
        </w:tc>
      </w:tr>
      <w:tr w:rsidR="00AA0583" w:rsidRPr="00A7057B" w:rsidTr="006D7DCA">
        <w:tc>
          <w:tcPr>
            <w:tcW w:w="464" w:type="pct"/>
          </w:tcPr>
          <w:p w:rsidR="00AA0583" w:rsidRDefault="00AA0583" w:rsidP="004201DB">
            <w:pPr>
              <w:pStyle w:val="BodyText2"/>
              <w:tabs>
                <w:tab w:val="left" w:pos="1710"/>
              </w:tabs>
              <w:jc w:val="left"/>
              <w:rPr>
                <w:sz w:val="18"/>
                <w:szCs w:val="18"/>
              </w:rPr>
            </w:pPr>
          </w:p>
        </w:tc>
        <w:tc>
          <w:tcPr>
            <w:tcW w:w="1578" w:type="pct"/>
          </w:tcPr>
          <w:p w:rsidR="00AA0583" w:rsidRDefault="00AA0583" w:rsidP="004201DB">
            <w:pPr>
              <w:pStyle w:val="BodyText2"/>
              <w:tabs>
                <w:tab w:val="left" w:pos="1710"/>
              </w:tabs>
              <w:jc w:val="left"/>
              <w:rPr>
                <w:sz w:val="18"/>
                <w:szCs w:val="18"/>
              </w:rPr>
            </w:pPr>
            <w:r>
              <w:rPr>
                <w:sz w:val="18"/>
                <w:szCs w:val="18"/>
              </w:rPr>
              <w:t>11</w:t>
            </w:r>
          </w:p>
        </w:tc>
        <w:tc>
          <w:tcPr>
            <w:tcW w:w="2957" w:type="pct"/>
          </w:tcPr>
          <w:p w:rsidR="00AA0583" w:rsidRDefault="00AA0583" w:rsidP="004201DB">
            <w:pPr>
              <w:pStyle w:val="BodyText2"/>
              <w:tabs>
                <w:tab w:val="left" w:pos="1710"/>
              </w:tabs>
              <w:jc w:val="left"/>
              <w:rPr>
                <w:sz w:val="18"/>
                <w:szCs w:val="18"/>
              </w:rPr>
            </w:pPr>
            <w:r>
              <w:rPr>
                <w:sz w:val="18"/>
                <w:szCs w:val="18"/>
              </w:rPr>
              <w:t>Filter Values for “Null” were missing after release 6.1.0.9.  Insert the needed rows in Filter tables to ensure crosstab views have all the needed values.</w:t>
            </w:r>
          </w:p>
          <w:p w:rsidR="00AA0583" w:rsidRDefault="00AA0583" w:rsidP="004201DB">
            <w:pPr>
              <w:pStyle w:val="BodyText2"/>
              <w:tabs>
                <w:tab w:val="left" w:pos="1710"/>
              </w:tabs>
              <w:jc w:val="left"/>
              <w:rPr>
                <w:sz w:val="18"/>
                <w:szCs w:val="18"/>
              </w:rPr>
            </w:pPr>
          </w:p>
        </w:tc>
      </w:tr>
      <w:tr w:rsidR="00AA0583" w:rsidRPr="00A7057B" w:rsidTr="006D7DCA">
        <w:tc>
          <w:tcPr>
            <w:tcW w:w="464" w:type="pct"/>
          </w:tcPr>
          <w:p w:rsidR="00AA0583" w:rsidRDefault="00AA0583" w:rsidP="004201DB">
            <w:pPr>
              <w:pStyle w:val="BodyText2"/>
              <w:tabs>
                <w:tab w:val="left" w:pos="1710"/>
              </w:tabs>
              <w:jc w:val="left"/>
              <w:rPr>
                <w:sz w:val="18"/>
                <w:szCs w:val="18"/>
              </w:rPr>
            </w:pPr>
          </w:p>
        </w:tc>
        <w:tc>
          <w:tcPr>
            <w:tcW w:w="1578" w:type="pct"/>
          </w:tcPr>
          <w:p w:rsidR="00AA0583" w:rsidRDefault="00AA0583" w:rsidP="004201DB">
            <w:pPr>
              <w:pStyle w:val="BodyText2"/>
              <w:tabs>
                <w:tab w:val="left" w:pos="1710"/>
              </w:tabs>
              <w:jc w:val="left"/>
              <w:rPr>
                <w:sz w:val="18"/>
                <w:szCs w:val="18"/>
              </w:rPr>
            </w:pPr>
            <w:r>
              <w:rPr>
                <w:sz w:val="18"/>
                <w:szCs w:val="18"/>
              </w:rPr>
              <w:t>12</w:t>
            </w:r>
          </w:p>
        </w:tc>
        <w:tc>
          <w:tcPr>
            <w:tcW w:w="2957" w:type="pct"/>
          </w:tcPr>
          <w:p w:rsidR="00AA0583" w:rsidRDefault="00AA0583" w:rsidP="004201DB">
            <w:pPr>
              <w:pStyle w:val="BodyText2"/>
              <w:tabs>
                <w:tab w:val="left" w:pos="1710"/>
              </w:tabs>
              <w:jc w:val="left"/>
              <w:rPr>
                <w:sz w:val="18"/>
                <w:szCs w:val="18"/>
              </w:rPr>
            </w:pPr>
            <w:r>
              <w:rPr>
                <w:sz w:val="18"/>
                <w:szCs w:val="18"/>
              </w:rPr>
              <w:t>Adjust the minimum age for the lowest age category, allowing children who are in care prior to their birthdate to have an age classification.</w:t>
            </w:r>
          </w:p>
          <w:p w:rsidR="00AA0583" w:rsidRDefault="00AA0583" w:rsidP="004201DB">
            <w:pPr>
              <w:pStyle w:val="BodyText2"/>
              <w:tabs>
                <w:tab w:val="left" w:pos="1710"/>
              </w:tabs>
              <w:jc w:val="left"/>
              <w:rPr>
                <w:sz w:val="18"/>
                <w:szCs w:val="18"/>
              </w:rPr>
            </w:pPr>
          </w:p>
        </w:tc>
      </w:tr>
      <w:tr w:rsidR="00AA0583" w:rsidRPr="00A7057B" w:rsidTr="006D7DCA">
        <w:tc>
          <w:tcPr>
            <w:tcW w:w="464" w:type="pct"/>
          </w:tcPr>
          <w:p w:rsidR="00AA0583" w:rsidRDefault="00AA0583" w:rsidP="004201DB">
            <w:pPr>
              <w:pStyle w:val="BodyText2"/>
              <w:tabs>
                <w:tab w:val="left" w:pos="1710"/>
              </w:tabs>
              <w:jc w:val="left"/>
              <w:rPr>
                <w:sz w:val="18"/>
                <w:szCs w:val="18"/>
              </w:rPr>
            </w:pPr>
          </w:p>
        </w:tc>
        <w:tc>
          <w:tcPr>
            <w:tcW w:w="1578" w:type="pct"/>
          </w:tcPr>
          <w:p w:rsidR="00AA0583" w:rsidRDefault="00AA0583" w:rsidP="004201DB">
            <w:pPr>
              <w:pStyle w:val="BodyText2"/>
              <w:tabs>
                <w:tab w:val="left" w:pos="1710"/>
              </w:tabs>
              <w:jc w:val="left"/>
              <w:rPr>
                <w:sz w:val="18"/>
                <w:szCs w:val="18"/>
              </w:rPr>
            </w:pPr>
            <w:r>
              <w:rPr>
                <w:sz w:val="18"/>
                <w:szCs w:val="18"/>
              </w:rPr>
              <w:t>13</w:t>
            </w:r>
          </w:p>
        </w:tc>
        <w:tc>
          <w:tcPr>
            <w:tcW w:w="2957" w:type="pct"/>
          </w:tcPr>
          <w:p w:rsidR="00AA0583" w:rsidRDefault="00AA0583" w:rsidP="004201DB">
            <w:pPr>
              <w:pStyle w:val="BodyText2"/>
              <w:tabs>
                <w:tab w:val="left" w:pos="1710"/>
              </w:tabs>
              <w:jc w:val="left"/>
              <w:rPr>
                <w:sz w:val="18"/>
                <w:szCs w:val="18"/>
              </w:rPr>
            </w:pPr>
            <w:r>
              <w:rPr>
                <w:sz w:val="18"/>
                <w:szCs w:val="18"/>
              </w:rPr>
              <w:t>Fix an issue with Crosstab view to support crosstab categories where the label is longer than 30 characters.</w:t>
            </w:r>
          </w:p>
          <w:p w:rsidR="00AA0583" w:rsidRDefault="00AA0583" w:rsidP="004201DB">
            <w:pPr>
              <w:pStyle w:val="BodyText2"/>
              <w:tabs>
                <w:tab w:val="left" w:pos="1710"/>
              </w:tabs>
              <w:jc w:val="left"/>
              <w:rPr>
                <w:sz w:val="18"/>
                <w:szCs w:val="18"/>
              </w:rPr>
            </w:pPr>
            <w:bookmarkStart w:id="0" w:name="_GoBack"/>
            <w:bookmarkEnd w:id="0"/>
          </w:p>
        </w:tc>
      </w:tr>
      <w:tr w:rsidR="00D04AF2" w:rsidRPr="00D04AF2" w:rsidTr="006D7DCA">
        <w:tc>
          <w:tcPr>
            <w:tcW w:w="464" w:type="pct"/>
          </w:tcPr>
          <w:p w:rsidR="00D04AF2" w:rsidRPr="00D04AF2" w:rsidRDefault="00D04AF2" w:rsidP="004201DB">
            <w:pPr>
              <w:pStyle w:val="BodyText2"/>
              <w:tabs>
                <w:tab w:val="left" w:pos="1710"/>
              </w:tabs>
              <w:jc w:val="left"/>
              <w:rPr>
                <w:sz w:val="18"/>
                <w:szCs w:val="18"/>
              </w:rPr>
            </w:pPr>
            <w:r w:rsidRPr="00D04AF2">
              <w:rPr>
                <w:sz w:val="18"/>
                <w:szCs w:val="18"/>
              </w:rPr>
              <w:t>13188</w:t>
            </w:r>
          </w:p>
        </w:tc>
        <w:tc>
          <w:tcPr>
            <w:tcW w:w="1578" w:type="pct"/>
          </w:tcPr>
          <w:p w:rsidR="00D04AF2" w:rsidRPr="00D04AF2" w:rsidRDefault="00D04AF2" w:rsidP="00D04AF2">
            <w:pPr>
              <w:autoSpaceDE w:val="0"/>
              <w:autoSpaceDN w:val="0"/>
              <w:adjustRightInd w:val="0"/>
              <w:rPr>
                <w:rFonts w:eastAsiaTheme="minorHAnsi" w:cs="Arial"/>
                <w:color w:val="000000"/>
                <w:sz w:val="18"/>
                <w:szCs w:val="18"/>
              </w:rPr>
            </w:pPr>
            <w:r w:rsidRPr="00D04AF2">
              <w:rPr>
                <w:rFonts w:eastAsiaTheme="minorHAnsi" w:cs="Arial"/>
                <w:color w:val="000000"/>
                <w:sz w:val="18"/>
                <w:szCs w:val="18"/>
              </w:rPr>
              <w:t>When on the Crosstab: In Time Period tab, within UAT it defaults to February, but in Kansas it defaults to the time period filter.  I clicked Apply Time Period Changes and it still does not default to the time period which I've entered.  It remains as February time period.</w:t>
            </w:r>
          </w:p>
        </w:tc>
        <w:tc>
          <w:tcPr>
            <w:tcW w:w="2957" w:type="pct"/>
          </w:tcPr>
          <w:p w:rsidR="00D04AF2" w:rsidRPr="00D04AF2" w:rsidRDefault="00D04AF2" w:rsidP="004201DB">
            <w:pPr>
              <w:pStyle w:val="BodyText2"/>
              <w:tabs>
                <w:tab w:val="left" w:pos="1710"/>
              </w:tabs>
              <w:jc w:val="left"/>
              <w:rPr>
                <w:sz w:val="18"/>
                <w:szCs w:val="18"/>
              </w:rPr>
            </w:pPr>
            <w:r w:rsidRPr="00D04AF2">
              <w:rPr>
                <w:rFonts w:eastAsiaTheme="minorHAnsi" w:cs="Arial"/>
                <w:color w:val="000000"/>
                <w:sz w:val="18"/>
                <w:szCs w:val="18"/>
              </w:rPr>
              <w:t>The ROM Release 6.1.1.0 service pack from Kansas has fixed this issue.  I tested the same report and the reports on the ROM Ohio server are defaulting to the time period filter.  This defect can be closed.</w:t>
            </w:r>
          </w:p>
        </w:tc>
      </w:tr>
      <w:tr w:rsidR="00D04AF2" w:rsidRPr="006D7DCA" w:rsidTr="006D7DCA">
        <w:tc>
          <w:tcPr>
            <w:tcW w:w="464" w:type="pct"/>
          </w:tcPr>
          <w:p w:rsidR="00D04AF2" w:rsidRPr="006D7DCA" w:rsidRDefault="006D7DCA" w:rsidP="004201DB">
            <w:pPr>
              <w:pStyle w:val="BodyText2"/>
              <w:tabs>
                <w:tab w:val="left" w:pos="1710"/>
              </w:tabs>
              <w:jc w:val="left"/>
              <w:rPr>
                <w:sz w:val="18"/>
                <w:szCs w:val="18"/>
              </w:rPr>
            </w:pPr>
            <w:r>
              <w:rPr>
                <w:sz w:val="18"/>
                <w:szCs w:val="18"/>
              </w:rPr>
              <w:t>13193</w:t>
            </w:r>
          </w:p>
        </w:tc>
        <w:tc>
          <w:tcPr>
            <w:tcW w:w="1578" w:type="pct"/>
          </w:tcPr>
          <w:p w:rsidR="00D04AF2" w:rsidRPr="006D7DCA" w:rsidRDefault="006D7DCA" w:rsidP="00D04AF2">
            <w:pPr>
              <w:autoSpaceDE w:val="0"/>
              <w:autoSpaceDN w:val="0"/>
              <w:adjustRightInd w:val="0"/>
              <w:rPr>
                <w:rFonts w:eastAsiaTheme="minorHAnsi" w:cs="Arial"/>
                <w:color w:val="000000"/>
                <w:sz w:val="18"/>
                <w:szCs w:val="18"/>
              </w:rPr>
            </w:pPr>
            <w:r w:rsidRPr="006D7DCA">
              <w:rPr>
                <w:rFonts w:eastAsiaTheme="minorHAnsi" w:cs="Arial"/>
                <w:color w:val="000000"/>
                <w:sz w:val="18"/>
                <w:szCs w:val="18"/>
              </w:rPr>
              <w:t>The "Out of Home Care- Caseload Counts" report title is named different in the ROM UAT Environment than the ROM KU environment.</w:t>
            </w:r>
          </w:p>
        </w:tc>
        <w:tc>
          <w:tcPr>
            <w:tcW w:w="2957" w:type="pct"/>
          </w:tcPr>
          <w:p w:rsidR="006D7DCA" w:rsidRPr="006D7DCA" w:rsidRDefault="006D7DCA" w:rsidP="006D7DCA">
            <w:pPr>
              <w:autoSpaceDE w:val="0"/>
              <w:autoSpaceDN w:val="0"/>
              <w:adjustRightInd w:val="0"/>
              <w:rPr>
                <w:rFonts w:eastAsiaTheme="minorHAnsi" w:cs="Arial"/>
                <w:color w:val="000000"/>
                <w:sz w:val="18"/>
                <w:szCs w:val="18"/>
              </w:rPr>
            </w:pPr>
            <w:r w:rsidRPr="006D7DCA">
              <w:rPr>
                <w:rFonts w:eastAsiaTheme="minorHAnsi" w:cs="Arial"/>
                <w:color w:val="000000"/>
                <w:sz w:val="18"/>
                <w:szCs w:val="18"/>
              </w:rPr>
              <w:t>This is not an error/issue.  ODJFS wanted the Caseload Counts report under the Federal Child Status Counts renamed to Out of Home Care - Caseload Counts.  This is why they didn't match.  The title on the report will be updated on the Ohio UAT server.</w:t>
            </w:r>
          </w:p>
          <w:p w:rsidR="00D04AF2" w:rsidRPr="006D7DCA" w:rsidRDefault="00D04AF2" w:rsidP="004201DB">
            <w:pPr>
              <w:pStyle w:val="BodyText2"/>
              <w:tabs>
                <w:tab w:val="left" w:pos="1710"/>
              </w:tabs>
              <w:jc w:val="left"/>
              <w:rPr>
                <w:rFonts w:eastAsiaTheme="minorHAnsi" w:cs="Arial"/>
                <w:color w:val="000000"/>
                <w:sz w:val="18"/>
                <w:szCs w:val="18"/>
              </w:rPr>
            </w:pPr>
          </w:p>
        </w:tc>
      </w:tr>
      <w:tr w:rsidR="006D7DCA" w:rsidRPr="006D7DCA" w:rsidTr="006D7DCA">
        <w:tc>
          <w:tcPr>
            <w:tcW w:w="464" w:type="pct"/>
          </w:tcPr>
          <w:p w:rsidR="006D7DCA" w:rsidRDefault="006D7DCA" w:rsidP="004201DB">
            <w:pPr>
              <w:pStyle w:val="BodyText2"/>
              <w:tabs>
                <w:tab w:val="left" w:pos="1710"/>
              </w:tabs>
              <w:jc w:val="left"/>
              <w:rPr>
                <w:sz w:val="18"/>
                <w:szCs w:val="18"/>
              </w:rPr>
            </w:pPr>
          </w:p>
        </w:tc>
        <w:tc>
          <w:tcPr>
            <w:tcW w:w="1578" w:type="pct"/>
          </w:tcPr>
          <w:p w:rsidR="006D7DCA" w:rsidRPr="006D7DCA" w:rsidRDefault="006D7DCA" w:rsidP="00D04AF2">
            <w:pPr>
              <w:autoSpaceDE w:val="0"/>
              <w:autoSpaceDN w:val="0"/>
              <w:adjustRightInd w:val="0"/>
              <w:rPr>
                <w:rFonts w:eastAsiaTheme="minorHAnsi" w:cs="Arial"/>
                <w:color w:val="000000"/>
                <w:sz w:val="18"/>
                <w:szCs w:val="18"/>
              </w:rPr>
            </w:pPr>
          </w:p>
        </w:tc>
        <w:tc>
          <w:tcPr>
            <w:tcW w:w="2957" w:type="pct"/>
          </w:tcPr>
          <w:p w:rsidR="006D7DCA" w:rsidRPr="006D7DCA" w:rsidRDefault="006D7DCA" w:rsidP="006D7DCA">
            <w:pPr>
              <w:autoSpaceDE w:val="0"/>
              <w:autoSpaceDN w:val="0"/>
              <w:adjustRightInd w:val="0"/>
              <w:rPr>
                <w:rFonts w:eastAsiaTheme="minorHAnsi" w:cs="Arial"/>
                <w:color w:val="000000"/>
                <w:sz w:val="18"/>
                <w:szCs w:val="18"/>
              </w:rPr>
            </w:pPr>
          </w:p>
        </w:tc>
      </w:tr>
    </w:tbl>
    <w:p w:rsidR="00AA0583" w:rsidRDefault="00AA0583" w:rsidP="00AA0583">
      <w:pPr>
        <w:rPr>
          <w:sz w:val="18"/>
          <w:szCs w:val="18"/>
        </w:rPr>
      </w:pPr>
    </w:p>
    <w:p w:rsidR="00AA0583" w:rsidRDefault="00AA0583" w:rsidP="00AA0583">
      <w:pPr>
        <w:rPr>
          <w:sz w:val="18"/>
          <w:szCs w:val="18"/>
        </w:rPr>
      </w:pPr>
    </w:p>
    <w:p w:rsidR="00AA0583" w:rsidRDefault="00AA0583" w:rsidP="00AA0583">
      <w:pPr>
        <w:rPr>
          <w:sz w:val="18"/>
          <w:szCs w:val="18"/>
        </w:rPr>
      </w:pPr>
    </w:p>
    <w:p w:rsidR="003D5360" w:rsidRDefault="003D5360"/>
    <w:sectPr w:rsidR="003D5360" w:rsidSect="008C614C">
      <w:headerReference w:type="even" r:id="rId7"/>
      <w:headerReference w:type="default" r:id="rId8"/>
      <w:footerReference w:type="even" r:id="rId9"/>
      <w:footerReference w:type="default" r:id="rId10"/>
      <w:headerReference w:type="first" r:id="rId11"/>
      <w:footerReference w:type="first" r:id="rId12"/>
      <w:pgSz w:w="12240" w:h="15840" w:code="1"/>
      <w:pgMar w:top="2340" w:right="1440" w:bottom="1440" w:left="1440" w:header="1080" w:footer="10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79D5" w:rsidRDefault="002679D5" w:rsidP="00AA0583">
      <w:r>
        <w:separator/>
      </w:r>
    </w:p>
  </w:endnote>
  <w:endnote w:type="continuationSeparator" w:id="0">
    <w:p w:rsidR="002679D5" w:rsidRDefault="002679D5" w:rsidP="00AA05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583" w:rsidRDefault="00AA058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42C" w:rsidRPr="00033BC8" w:rsidRDefault="00A239B6" w:rsidP="00DA55EA">
    <w:pPr>
      <w:pStyle w:val="Footer"/>
      <w:tabs>
        <w:tab w:val="clear" w:pos="4320"/>
        <w:tab w:val="clear" w:pos="8640"/>
        <w:tab w:val="center" w:pos="4680"/>
        <w:tab w:val="right" w:pos="10080"/>
      </w:tabs>
      <w:rPr>
        <w:snapToGrid w:val="0"/>
        <w:sz w:val="16"/>
        <w:szCs w:val="16"/>
        <w:u w:val="thick" w:color="0000FF"/>
      </w:rPr>
    </w:pPr>
    <w:r w:rsidRPr="00033BC8">
      <w:rPr>
        <w:snapToGrid w:val="0"/>
        <w:sz w:val="16"/>
        <w:szCs w:val="16"/>
        <w:u w:val="thick" w:color="0000FF"/>
      </w:rPr>
      <w:t>_________________________________________________________________________________________________________</w:t>
    </w:r>
  </w:p>
  <w:p w:rsidR="005A242C" w:rsidRDefault="00A239B6" w:rsidP="00DA55EA">
    <w:pPr>
      <w:pStyle w:val="Footer"/>
      <w:tabs>
        <w:tab w:val="clear" w:pos="4320"/>
        <w:tab w:val="clear" w:pos="8640"/>
        <w:tab w:val="center" w:pos="4680"/>
        <w:tab w:val="right" w:pos="9360"/>
      </w:tabs>
      <w:rPr>
        <w:rStyle w:val="PageNumber"/>
        <w:sz w:val="16"/>
      </w:rPr>
    </w:pPr>
    <w:r>
      <w:rPr>
        <w:sz w:val="16"/>
      </w:rPr>
      <w:tab/>
    </w:r>
    <w:r>
      <w:rPr>
        <w:sz w:val="16"/>
      </w:rPr>
      <w:tab/>
      <w:t>P</w:t>
    </w:r>
    <w:r>
      <w:rPr>
        <w:snapToGrid w:val="0"/>
        <w:sz w:val="16"/>
      </w:rPr>
      <w:t xml:space="preserve">age </w:t>
    </w:r>
    <w:r w:rsidR="00FC7FA2">
      <w:rPr>
        <w:rStyle w:val="PageNumber"/>
        <w:sz w:val="16"/>
      </w:rPr>
      <w:fldChar w:fldCharType="begin"/>
    </w:r>
    <w:r>
      <w:rPr>
        <w:rStyle w:val="PageNumber"/>
        <w:sz w:val="16"/>
      </w:rPr>
      <w:instrText xml:space="preserve"> PAGE </w:instrText>
    </w:r>
    <w:r w:rsidR="00FC7FA2">
      <w:rPr>
        <w:rStyle w:val="PageNumber"/>
        <w:sz w:val="16"/>
      </w:rPr>
      <w:fldChar w:fldCharType="separate"/>
    </w:r>
    <w:r w:rsidR="00712BF2">
      <w:rPr>
        <w:rStyle w:val="PageNumber"/>
        <w:noProof/>
        <w:sz w:val="16"/>
      </w:rPr>
      <w:t>1</w:t>
    </w:r>
    <w:r w:rsidR="00FC7FA2">
      <w:rPr>
        <w:rStyle w:val="PageNumber"/>
        <w:sz w:val="16"/>
      </w:rPr>
      <w:fldChar w:fldCharType="end"/>
    </w:r>
    <w:r>
      <w:rPr>
        <w:snapToGrid w:val="0"/>
        <w:sz w:val="16"/>
      </w:rPr>
      <w:t xml:space="preserve"> of </w:t>
    </w:r>
    <w:r w:rsidR="00FC7FA2">
      <w:rPr>
        <w:rStyle w:val="PageNumber"/>
        <w:sz w:val="16"/>
      </w:rPr>
      <w:fldChar w:fldCharType="begin"/>
    </w:r>
    <w:r>
      <w:rPr>
        <w:rStyle w:val="PageNumber"/>
        <w:sz w:val="16"/>
      </w:rPr>
      <w:instrText xml:space="preserve"> NUMPAGES </w:instrText>
    </w:r>
    <w:r w:rsidR="00FC7FA2">
      <w:rPr>
        <w:rStyle w:val="PageNumber"/>
        <w:sz w:val="16"/>
      </w:rPr>
      <w:fldChar w:fldCharType="separate"/>
    </w:r>
    <w:r w:rsidR="00712BF2">
      <w:rPr>
        <w:rStyle w:val="PageNumber"/>
        <w:noProof/>
        <w:sz w:val="16"/>
      </w:rPr>
      <w:t>3</w:t>
    </w:r>
    <w:r w:rsidR="00FC7FA2">
      <w:rPr>
        <w:rStyle w:val="PageNumber"/>
        <w:sz w:val="16"/>
      </w:rPr>
      <w:fldChar w:fldCharType="end"/>
    </w:r>
  </w:p>
  <w:p w:rsidR="005A242C" w:rsidRDefault="00A239B6" w:rsidP="00DA55EA">
    <w:pPr>
      <w:pStyle w:val="Footer"/>
      <w:tabs>
        <w:tab w:val="clear" w:pos="4320"/>
        <w:tab w:val="clear" w:pos="8640"/>
        <w:tab w:val="center" w:pos="4680"/>
        <w:tab w:val="right" w:pos="9360"/>
      </w:tabs>
      <w:rPr>
        <w:sz w:val="16"/>
      </w:rPr>
    </w:pPr>
    <w:r>
      <w:rPr>
        <w:rStyle w:val="PageNumber"/>
        <w:sz w:val="16"/>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583" w:rsidRDefault="00AA05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79D5" w:rsidRDefault="002679D5" w:rsidP="00AA0583">
      <w:r>
        <w:separator/>
      </w:r>
    </w:p>
  </w:footnote>
  <w:footnote w:type="continuationSeparator" w:id="0">
    <w:p w:rsidR="002679D5" w:rsidRDefault="002679D5" w:rsidP="00AA05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583" w:rsidRDefault="00AA058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42C" w:rsidRDefault="00FC7FA2">
    <w:pPr>
      <w:pStyle w:val="Header"/>
      <w:tabs>
        <w:tab w:val="clear" w:pos="8640"/>
        <w:tab w:val="right" w:pos="9360"/>
      </w:tabs>
      <w:rPr>
        <w:u w:val="single"/>
      </w:rPr>
    </w:pPr>
    <w:r w:rsidRPr="00787A3F">
      <w:rPr>
        <w:i/>
        <w:shadow/>
        <w:color w:val="333399"/>
        <w:sz w:val="28"/>
        <w:szCs w:val="28"/>
        <w:u w:val="single"/>
      </w:rPr>
      <w:fldChar w:fldCharType="begin"/>
    </w:r>
    <w:r w:rsidR="00A239B6" w:rsidRPr="00787A3F">
      <w:rPr>
        <w:i/>
        <w:shadow/>
        <w:color w:val="333399"/>
        <w:sz w:val="28"/>
        <w:szCs w:val="28"/>
        <w:u w:val="single"/>
      </w:rPr>
      <w:instrText xml:space="preserve"> FILENAME </w:instrText>
    </w:r>
    <w:r w:rsidRPr="00787A3F">
      <w:rPr>
        <w:i/>
        <w:shadow/>
        <w:color w:val="333399"/>
        <w:sz w:val="28"/>
        <w:szCs w:val="28"/>
        <w:u w:val="single"/>
      </w:rPr>
      <w:fldChar w:fldCharType="separate"/>
    </w:r>
    <w:r w:rsidR="00AA0583">
      <w:rPr>
        <w:i/>
        <w:shadow/>
        <w:noProof/>
        <w:color w:val="333399"/>
        <w:sz w:val="28"/>
        <w:szCs w:val="28"/>
        <w:u w:val="single"/>
      </w:rPr>
      <w:t>ROM Corrections</w:t>
    </w:r>
    <w:r w:rsidR="00A239B6">
      <w:rPr>
        <w:i/>
        <w:shadow/>
        <w:noProof/>
        <w:color w:val="333399"/>
        <w:sz w:val="28"/>
        <w:szCs w:val="28"/>
        <w:u w:val="single"/>
      </w:rPr>
      <w:t>_Version_6</w:t>
    </w:r>
    <w:r w:rsidR="00AA0583">
      <w:rPr>
        <w:i/>
        <w:shadow/>
        <w:noProof/>
        <w:color w:val="333399"/>
        <w:sz w:val="28"/>
        <w:szCs w:val="28"/>
        <w:u w:val="single"/>
      </w:rPr>
      <w:t>.1.</w:t>
    </w:r>
    <w:r w:rsidR="00A239B6">
      <w:rPr>
        <w:i/>
        <w:shadow/>
        <w:noProof/>
        <w:color w:val="333399"/>
        <w:sz w:val="28"/>
        <w:szCs w:val="28"/>
        <w:u w:val="single"/>
      </w:rPr>
      <w:t>1</w:t>
    </w:r>
    <w:r w:rsidRPr="00787A3F">
      <w:rPr>
        <w:i/>
        <w:shadow/>
        <w:color w:val="333399"/>
        <w:sz w:val="28"/>
        <w:szCs w:val="28"/>
        <w:u w:val="single"/>
      </w:rPr>
      <w:fldChar w:fldCharType="end"/>
    </w:r>
    <w:r w:rsidR="00A239B6" w:rsidRPr="007E5E33">
      <w:rPr>
        <w:b/>
        <w:bCs/>
        <w:i/>
        <w:shadow/>
        <w:color w:val="0000FF"/>
        <w:sz w:val="28"/>
        <w:szCs w:val="28"/>
        <w:u w:val="single"/>
      </w:rPr>
      <w:t xml:space="preserve"> </w:t>
    </w:r>
    <w:r w:rsidR="00A239B6">
      <w:rPr>
        <w:b/>
        <w:bCs/>
        <w:i/>
        <w:shadow/>
        <w:color w:val="0000FF"/>
        <w:sz w:val="28"/>
        <w:szCs w:val="28"/>
        <w:u w:val="single"/>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0583" w:rsidRDefault="00AA058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81E69"/>
    <w:multiLevelType w:val="hybridMultilevel"/>
    <w:tmpl w:val="ABA213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AA0583"/>
    <w:rsid w:val="002679D5"/>
    <w:rsid w:val="003C050C"/>
    <w:rsid w:val="003D5360"/>
    <w:rsid w:val="006D7DCA"/>
    <w:rsid w:val="00712BF2"/>
    <w:rsid w:val="00A239B6"/>
    <w:rsid w:val="00AA0583"/>
    <w:rsid w:val="00C95918"/>
    <w:rsid w:val="00D04AF2"/>
    <w:rsid w:val="00FC7F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583"/>
    <w:pPr>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A0583"/>
    <w:pPr>
      <w:tabs>
        <w:tab w:val="center" w:pos="4320"/>
        <w:tab w:val="right" w:pos="8640"/>
      </w:tabs>
    </w:pPr>
  </w:style>
  <w:style w:type="character" w:customStyle="1" w:styleId="HeaderChar">
    <w:name w:val="Header Char"/>
    <w:basedOn w:val="DefaultParagraphFont"/>
    <w:link w:val="Header"/>
    <w:rsid w:val="00AA0583"/>
    <w:rPr>
      <w:rFonts w:ascii="Arial" w:eastAsia="Times New Roman" w:hAnsi="Arial" w:cs="Times New Roman"/>
      <w:szCs w:val="20"/>
    </w:rPr>
  </w:style>
  <w:style w:type="paragraph" w:styleId="Footer">
    <w:name w:val="footer"/>
    <w:basedOn w:val="Normal"/>
    <w:link w:val="FooterChar"/>
    <w:rsid w:val="00AA0583"/>
    <w:pPr>
      <w:tabs>
        <w:tab w:val="center" w:pos="4320"/>
        <w:tab w:val="right" w:pos="8640"/>
      </w:tabs>
    </w:pPr>
  </w:style>
  <w:style w:type="character" w:customStyle="1" w:styleId="FooterChar">
    <w:name w:val="Footer Char"/>
    <w:basedOn w:val="DefaultParagraphFont"/>
    <w:link w:val="Footer"/>
    <w:rsid w:val="00AA0583"/>
    <w:rPr>
      <w:rFonts w:ascii="Arial" w:eastAsia="Times New Roman" w:hAnsi="Arial" w:cs="Times New Roman"/>
      <w:szCs w:val="20"/>
    </w:rPr>
  </w:style>
  <w:style w:type="character" w:styleId="PageNumber">
    <w:name w:val="page number"/>
    <w:basedOn w:val="DefaultParagraphFont"/>
    <w:rsid w:val="00AA0583"/>
  </w:style>
  <w:style w:type="paragraph" w:styleId="BodyText2">
    <w:name w:val="Body Text 2"/>
    <w:basedOn w:val="Normal"/>
    <w:link w:val="BodyText2Char"/>
    <w:rsid w:val="00AA0583"/>
    <w:pPr>
      <w:jc w:val="both"/>
    </w:pPr>
  </w:style>
  <w:style w:type="character" w:customStyle="1" w:styleId="BodyText2Char">
    <w:name w:val="Body Text 2 Char"/>
    <w:basedOn w:val="DefaultParagraphFont"/>
    <w:link w:val="BodyText2"/>
    <w:rsid w:val="00AA0583"/>
    <w:rPr>
      <w:rFonts w:ascii="Arial" w:eastAsia="Times New Roman" w:hAnsi="Arial"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846</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ODJFS</Company>
  <LinksUpToDate>false</LinksUpToDate>
  <CharactersWithSpaces>5663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ODJFS</dc:creator>
  <cp:keywords/>
  <dc:description/>
  <cp:lastModifiedBy>TIMYRA R. WILSON</cp:lastModifiedBy>
  <cp:revision>2</cp:revision>
  <dcterms:created xsi:type="dcterms:W3CDTF">2012-04-16T14:38:00Z</dcterms:created>
  <dcterms:modified xsi:type="dcterms:W3CDTF">2012-04-16T14:38:00Z</dcterms:modified>
</cp:coreProperties>
</file>